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hint="eastAsia" w:ascii="Arial" w:hAnsi="Arial" w:cs="Arial"/>
          <w:b/>
          <w:sz w:val="24"/>
        </w:rPr>
        <w:t xml:space="preserve">3GPP TSG-RAN WG4 Meeting </w:t>
      </w:r>
      <w:r>
        <w:rPr>
          <w:rFonts w:ascii="Arial" w:hAnsi="Arial" w:cs="Arial"/>
          <w:b/>
          <w:sz w:val="24"/>
          <w:szCs w:val="24"/>
        </w:rPr>
        <w:t>#</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eastAsia="MS Mincho"/>
          <w:b/>
          <w:sz w:val="24"/>
        </w:rPr>
        <w:tab/>
      </w:r>
      <w:r>
        <w:rPr>
          <w:rFonts w:hint="eastAsia" w:ascii="Arial" w:hAnsi="Arial"/>
          <w:b/>
          <w:sz w:val="24"/>
          <w:lang w:eastAsia="zh-CN"/>
        </w:rPr>
        <w:t>R4-</w:t>
      </w:r>
      <w:r>
        <w:rPr>
          <w:rFonts w:hint="eastAsia" w:ascii="Arial" w:hAnsi="Arial"/>
          <w:b/>
          <w:color w:val="auto"/>
          <w:sz w:val="24"/>
          <w:lang w:val="en-US" w:eastAsia="zh-CN"/>
        </w:rPr>
        <w:t>2208505</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r>
        <w:rPr>
          <w:rFonts w:hint="eastAsia" w:ascii="Arial" w:hAnsi="Arial" w:eastAsia="宋体" w:cs="Arial"/>
          <w:b/>
          <w:color w:val="auto"/>
          <w:sz w:val="24"/>
          <w:lang w:eastAsia="zh-CN"/>
        </w:rPr>
        <w:t>Electronic Meeting, May 09 – May 20, 2022</w:t>
      </w: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宋体"/>
          <w:b/>
          <w:sz w:val="24"/>
          <w:lang w:val="en-US" w:eastAsia="zh-CN"/>
        </w:rPr>
        <w:t xml:space="preserve">          </w:t>
      </w:r>
      <w:r>
        <w:rPr>
          <w:rFonts w:hint="eastAsia" w:ascii="Arial" w:hAnsi="Arial" w:eastAsia="MS Mincho"/>
          <w:b/>
          <w:sz w:val="24"/>
          <w:lang w:eastAsia="zh-CN"/>
        </w:rPr>
        <w:t>Discussion on timing issues for simultaneous operation of IAB</w:t>
      </w:r>
    </w:p>
    <w:p>
      <w:pPr>
        <w:pStyle w:val="14"/>
        <w:tabs>
          <w:tab w:val="left" w:pos="1800"/>
          <w:tab w:val="left" w:pos="3825"/>
          <w:tab w:val="clear" w:pos="4536"/>
          <w:tab w:val="clear" w:pos="9072"/>
        </w:tabs>
        <w:spacing w:after="60"/>
        <w:jc w:val="both"/>
        <w:rPr>
          <w:rFonts w:eastAsia="宋体"/>
          <w:sz w:val="24"/>
          <w:lang w:val="en-US" w:eastAsia="zh-CN"/>
        </w:rPr>
      </w:pPr>
      <w:r>
        <w:rPr>
          <w:sz w:val="24"/>
          <w:lang w:val="sv-SE"/>
        </w:rPr>
        <w:t>Agenda Item:</w:t>
      </w:r>
      <w:r>
        <w:rPr>
          <w:sz w:val="24"/>
          <w:lang w:val="sv-SE"/>
        </w:rPr>
        <w:tab/>
      </w:r>
      <w:r>
        <w:rPr>
          <w:rFonts w:hint="eastAsia" w:eastAsia="宋体"/>
          <w:color w:val="auto"/>
          <w:sz w:val="24"/>
          <w:lang w:val="en-US" w:eastAsia="zh-CN"/>
        </w:rPr>
        <w:t>9.16.2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analysis on the issue of timing for simultaneous operation between IAB-DU and IAB-MT of the same IAB-Node is provided.</w:t>
      </w:r>
      <w:bookmarkStart w:id="0" w:name="_GoBack"/>
      <w:bookmarkEnd w:id="0"/>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In RAN4 #10</w:t>
      </w:r>
      <w:r>
        <w:rPr>
          <w:rFonts w:hint="eastAsia" w:ascii="Times New Roman" w:hAnsi="Times New Roman"/>
          <w:bCs/>
          <w:kern w:val="0"/>
          <w:sz w:val="20"/>
          <w:szCs w:val="20"/>
          <w:lang w:val="en-US" w:eastAsia="zh-CN"/>
        </w:rPr>
        <w:t>2-</w:t>
      </w:r>
      <w:r>
        <w:rPr>
          <w:rFonts w:hint="eastAsia" w:ascii="Times New Roman" w:hAnsi="Times New Roman"/>
          <w:bCs/>
          <w:kern w:val="0"/>
          <w:sz w:val="20"/>
          <w:szCs w:val="20"/>
        </w:rPr>
        <w:t xml:space="preserve">e meeting, </w:t>
      </w:r>
      <w:r>
        <w:rPr>
          <w:rFonts w:hint="eastAsia" w:ascii="Times New Roman" w:hAnsi="Times New Roman"/>
          <w:bCs/>
          <w:kern w:val="0"/>
          <w:sz w:val="20"/>
          <w:szCs w:val="20"/>
          <w:lang w:val="en-US" w:eastAsia="zh-CN"/>
        </w:rPr>
        <w:t xml:space="preserve">TEA requirement was agreed </w:t>
      </w:r>
      <w:r>
        <w:rPr>
          <w:rFonts w:hint="eastAsia" w:ascii="Times New Roman" w:hAnsi="Times New Roman"/>
          <w:bCs/>
          <w:kern w:val="0"/>
          <w:sz w:val="20"/>
          <w:szCs w:val="20"/>
        </w:rPr>
        <w:t xml:space="preserve">for simultaneous operation were </w:t>
      </w:r>
      <w:r>
        <w:rPr>
          <w:rFonts w:hint="eastAsia" w:ascii="Times New Roman" w:hAnsi="Times New Roman"/>
          <w:bCs/>
          <w:kern w:val="0"/>
          <w:sz w:val="20"/>
          <w:szCs w:val="20"/>
          <w:lang w:val="en-US" w:eastAsia="zh-CN"/>
        </w:rPr>
        <w:t>agree</w:t>
      </w:r>
      <w:r>
        <w:rPr>
          <w:rFonts w:hint="eastAsia" w:ascii="Times New Roman" w:hAnsi="Times New Roman"/>
          <w:bCs/>
          <w:kern w:val="0"/>
          <w:sz w:val="20"/>
          <w:szCs w:val="20"/>
        </w:rPr>
        <w:t>d</w:t>
      </w:r>
      <w:r>
        <w:rPr>
          <w:rFonts w:hint="eastAsia" w:ascii="Times New Roman" w:hAnsi="Times New Roman"/>
          <w:bCs/>
          <w:kern w:val="0"/>
          <w:sz w:val="20"/>
          <w:szCs w:val="20"/>
          <w:vertAlign w:val="superscript"/>
        </w:rPr>
        <w:t xml:space="preserve">[1] </w:t>
      </w:r>
      <w:r>
        <w:rPr>
          <w:rFonts w:hint="eastAsia" w:ascii="Times New Roman" w:hAnsi="Times New Roman"/>
          <w:bCs/>
          <w:kern w:val="0"/>
          <w:sz w:val="20"/>
          <w:szCs w:val="20"/>
        </w:rPr>
        <w:t>as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after="0"/>
              <w:rPr>
                <w:b/>
                <w:u w:val="single"/>
              </w:rPr>
            </w:pPr>
            <w:r>
              <w:rPr>
                <w:b/>
                <w:u w:val="single"/>
              </w:rPr>
              <w:t>Issue 1-2-1: Timing error between intra-node MT TX and DU TX for case#6</w:t>
            </w:r>
          </w:p>
          <w:p>
            <w:pPr>
              <w:pStyle w:val="29"/>
              <w:snapToGrid w:val="0"/>
              <w:spacing w:after="0"/>
              <w:ind w:left="0" w:firstLine="400"/>
              <w:rPr>
                <w:rFonts w:eastAsiaTheme="minorEastAsia"/>
              </w:rPr>
            </w:pPr>
            <w:r>
              <w:rPr>
                <w:rFonts w:eastAsiaTheme="minorEastAsia"/>
              </w:rPr>
              <w:t>Candidate options:</w:t>
            </w:r>
          </w:p>
          <w:p>
            <w:pPr>
              <w:pStyle w:val="29"/>
              <w:widowControl w:val="0"/>
              <w:numPr>
                <w:ilvl w:val="0"/>
                <w:numId w:val="4"/>
              </w:numPr>
              <w:adjustRightInd w:val="0"/>
              <w:snapToGrid w:val="0"/>
              <w:spacing w:after="0"/>
              <w:ind w:left="120" w:leftChars="60" w:firstLine="420" w:firstLineChars="200"/>
              <w:jc w:val="both"/>
            </w:pPr>
            <w:r>
              <w:t>Option 1: To specify TAE between IAB-MT and IAB-DU in timing case #6 (Nokia, Samsung, ZTE)</w:t>
            </w:r>
          </w:p>
          <w:p>
            <w:pPr>
              <w:pStyle w:val="29"/>
              <w:widowControl w:val="0"/>
              <w:numPr>
                <w:ilvl w:val="2"/>
                <w:numId w:val="4"/>
              </w:numPr>
              <w:adjustRightInd w:val="0"/>
              <w:snapToGrid w:val="0"/>
              <w:spacing w:after="0"/>
              <w:ind w:left="960" w:leftChars="480" w:firstLine="420" w:firstLineChars="200"/>
              <w:jc w:val="both"/>
            </w:pPr>
            <w:r>
              <w:t>The requirement value is min [3us , 4.69 / (SCS/15 kHz) µs].</w:t>
            </w:r>
          </w:p>
          <w:p>
            <w:pPr>
              <w:pStyle w:val="29"/>
              <w:widowControl w:val="0"/>
              <w:numPr>
                <w:ilvl w:val="0"/>
                <w:numId w:val="4"/>
              </w:numPr>
              <w:adjustRightInd w:val="0"/>
              <w:snapToGrid w:val="0"/>
              <w:spacing w:after="0"/>
              <w:ind w:left="120" w:leftChars="60" w:firstLine="420" w:firstLineChars="200"/>
              <w:jc w:val="both"/>
            </w:pPr>
            <w:r>
              <w:t xml:space="preserve">Option 2: No TAE between IAB-MT and IAB-DU </w:t>
            </w:r>
            <w:r>
              <w:rPr>
                <w:rFonts w:hint="eastAsia"/>
              </w:rPr>
              <w:t>(</w:t>
            </w:r>
            <w:r>
              <w:t>Huawei, Ericsson)</w:t>
            </w:r>
          </w:p>
          <w:p>
            <w:pPr>
              <w:overflowPunct/>
              <w:autoSpaceDE/>
              <w:autoSpaceDN/>
              <w:adjustRightInd/>
              <w:spacing w:after="0"/>
              <w:textAlignment w:val="auto"/>
              <w:rPr>
                <w:rFonts w:eastAsia="等线"/>
                <w:highlight w:val="green"/>
                <w:lang w:val="en-US" w:eastAsia="zh-CN"/>
              </w:rPr>
            </w:pPr>
            <w:r>
              <w:rPr>
                <w:rFonts w:eastAsia="等线"/>
                <w:highlight w:val="green"/>
                <w:lang w:val="en-US" w:eastAsia="zh-CN"/>
              </w:rPr>
              <w:t>Agreement: Introducing this requirement into core specification</w:t>
            </w:r>
          </w:p>
          <w:p>
            <w:pPr>
              <w:pStyle w:val="29"/>
              <w:numPr>
                <w:ilvl w:val="0"/>
                <w:numId w:val="5"/>
              </w:numPr>
              <w:spacing w:after="0"/>
              <w:rPr>
                <w:rFonts w:eastAsia="等线"/>
                <w:szCs w:val="20"/>
                <w:highlight w:val="green"/>
              </w:rPr>
            </w:pPr>
            <w:r>
              <w:rPr>
                <w:rFonts w:eastAsia="等线"/>
                <w:szCs w:val="20"/>
                <w:highlight w:val="green"/>
              </w:rPr>
              <w:t>Whether IAB need to pass corresponding conformance test cases if introduced pending on IAB declaration</w:t>
            </w:r>
          </w:p>
          <w:p>
            <w:pPr>
              <w:pStyle w:val="29"/>
              <w:numPr>
                <w:ilvl w:val="0"/>
                <w:numId w:val="5"/>
              </w:numPr>
              <w:spacing w:after="0"/>
              <w:rPr>
                <w:rFonts w:eastAsia="等线"/>
                <w:szCs w:val="20"/>
                <w:highlight w:val="green"/>
              </w:rPr>
            </w:pPr>
            <w:r>
              <w:rPr>
                <w:rFonts w:eastAsia="等线"/>
                <w:szCs w:val="20"/>
                <w:highlight w:val="green"/>
              </w:rPr>
              <w:t>Further discuss the details of conformance test cases if introduced in conformance phase</w:t>
            </w:r>
          </w:p>
          <w:p>
            <w:pPr>
              <w:pStyle w:val="29"/>
              <w:numPr>
                <w:ilvl w:val="1"/>
                <w:numId w:val="5"/>
              </w:numPr>
              <w:spacing w:after="0"/>
              <w:rPr>
                <w:rFonts w:eastAsia="等线"/>
                <w:szCs w:val="20"/>
                <w:highlight w:val="green"/>
              </w:rPr>
            </w:pPr>
            <w:r>
              <w:rPr>
                <w:rFonts w:eastAsia="等线"/>
                <w:szCs w:val="20"/>
                <w:highlight w:val="green"/>
              </w:rPr>
              <w:t xml:space="preserve">It’s FFS whether conformance test cases needed or not considering test feasibility </w:t>
            </w:r>
          </w:p>
          <w:p>
            <w:pPr>
              <w:pStyle w:val="29"/>
              <w:keepNext w:val="0"/>
              <w:keepLines w:val="0"/>
              <w:pageBreakBefore w:val="0"/>
              <w:numPr>
                <w:ilvl w:val="0"/>
                <w:numId w:val="6"/>
              </w:numPr>
              <w:kinsoku/>
              <w:wordWrap/>
              <w:overflowPunct/>
              <w:topLinePunct w:val="0"/>
              <w:autoSpaceDE/>
              <w:autoSpaceDN/>
              <w:bidi w:val="0"/>
              <w:adjustRightInd w:val="0"/>
              <w:snapToGrid w:val="0"/>
              <w:spacing w:after="0" w:line="240" w:lineRule="auto"/>
              <w:textAlignment w:val="auto"/>
              <w:rPr>
                <w:rFonts w:ascii="Times New Roman" w:hAnsi="Times New Roman"/>
                <w:bCs/>
                <w:kern w:val="0"/>
                <w:sz w:val="20"/>
                <w:szCs w:val="20"/>
              </w:rPr>
            </w:pPr>
            <w:r>
              <w:rPr>
                <w:rFonts w:eastAsia="等线"/>
                <w:szCs w:val="20"/>
                <w:highlight w:val="green"/>
              </w:rPr>
              <w:t xml:space="preserve">Note: Cell phase sync performance maybe relaxed by TAE. If relaxtion not acceptable, RAN4 can further revisit the agreement. </w:t>
            </w:r>
          </w:p>
        </w:tc>
      </w:tr>
    </w:tbl>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rPr>
      </w:pPr>
      <w:r>
        <w:rPr>
          <w:rFonts w:hint="eastAsia" w:ascii="Times New Roman" w:hAnsi="Times New Roman"/>
          <w:bCs/>
          <w:kern w:val="0"/>
          <w:sz w:val="20"/>
          <w:szCs w:val="20"/>
        </w:rPr>
        <w:t xml:space="preserve">The </w:t>
      </w:r>
      <w:r>
        <w:rPr>
          <w:rFonts w:hint="eastAsia" w:ascii="Times New Roman" w:hAnsi="Times New Roman"/>
          <w:bCs/>
          <w:kern w:val="0"/>
          <w:sz w:val="20"/>
          <w:szCs w:val="20"/>
          <w:lang w:val="en-US" w:eastAsia="zh-CN"/>
        </w:rPr>
        <w:t>TAE</w:t>
      </w:r>
      <w:r>
        <w:rPr>
          <w:rFonts w:hint="eastAsia" w:ascii="Times New Roman" w:hAnsi="Times New Roman"/>
          <w:bCs/>
          <w:kern w:val="0"/>
          <w:sz w:val="20"/>
          <w:szCs w:val="20"/>
        </w:rPr>
        <w:t xml:space="preserve"> between IAB-DU node and IAB-MT </w:t>
      </w:r>
      <w:r>
        <w:rPr>
          <w:rFonts w:hint="eastAsia" w:ascii="Times New Roman" w:hAnsi="Times New Roman"/>
          <w:bCs/>
          <w:kern w:val="0"/>
          <w:sz w:val="20"/>
          <w:szCs w:val="20"/>
          <w:lang w:val="en-US" w:eastAsia="zh-CN"/>
        </w:rPr>
        <w:t>introduced for Rel-17 IAB</w:t>
      </w:r>
      <w:r>
        <w:rPr>
          <w:rFonts w:hint="eastAsia" w:ascii="Times New Roman" w:hAnsi="Times New Roman"/>
          <w:bCs/>
          <w:kern w:val="0"/>
          <w:sz w:val="20"/>
          <w:szCs w:val="20"/>
        </w:rPr>
        <w:t xml:space="preserve">. </w:t>
      </w:r>
      <w:r>
        <w:rPr>
          <w:rFonts w:hint="eastAsia" w:ascii="Times New Roman" w:hAnsi="Times New Roman"/>
          <w:bCs/>
          <w:kern w:val="0"/>
          <w:sz w:val="20"/>
          <w:szCs w:val="20"/>
          <w:lang w:val="en-US" w:eastAsia="zh-CN"/>
        </w:rPr>
        <w:t>The value of min [3us , 4.69 / (SCS/15 kHz) µs] needs to be confirmed</w:t>
      </w:r>
      <w:r>
        <w:rPr>
          <w:rFonts w:hint="eastAsia" w:ascii="Times New Roman" w:hAnsi="Times New Roman"/>
          <w:bCs/>
          <w:kern w:val="0"/>
          <w:sz w:val="20"/>
          <w:szCs w:val="20"/>
        </w:rPr>
        <w:t>.</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With regard to DL Tx timing between parent node and child IAB node, the IAB node can use OTA timing scheme to ensure DL Tx timing alignment</w:t>
      </w:r>
      <w:r>
        <w:rPr>
          <w:rFonts w:hint="eastAsia" w:ascii="Times New Roman" w:hAnsi="Times New Roman"/>
          <w:bCs/>
          <w:kern w:val="0"/>
          <w:sz w:val="20"/>
          <w:szCs w:val="20"/>
          <w:vertAlign w:val="superscript"/>
          <w:lang w:val="en-US" w:eastAsia="zh-CN"/>
        </w:rPr>
        <w:t>[2]</w:t>
      </w:r>
      <w:r>
        <w:rPr>
          <w:rFonts w:hint="eastAsia" w:ascii="Times New Roman" w:hAnsi="Times New Roman"/>
          <w:bCs/>
          <w:kern w:val="0"/>
          <w:sz w:val="20"/>
          <w:szCs w:val="20"/>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val="0"/>
              <w:snapToGrid w:val="0"/>
              <w:spacing w:before="180" w:line="240" w:lineRule="auto"/>
              <w:jc w:val="both"/>
              <w:textAlignment w:val="auto"/>
            </w:pPr>
            <w:r>
              <w:rPr>
                <w:lang w:eastAsia="zh-CN"/>
              </w:rPr>
              <w:t>If an IAB-node</w:t>
            </w:r>
            <w:r>
              <w:rPr>
                <w:rFonts w:eastAsia="DengXian"/>
                <w:lang w:eastAsia="zh-CN"/>
              </w:rPr>
              <w:t xml:space="preserve"> is provided an index</w:t>
            </w:r>
            <w:r>
              <w:rPr>
                <w:lang w:eastAsia="zh-CN"/>
              </w:rPr>
              <w:t xml:space="preserve"> </w:t>
            </w:r>
            <m:oMath>
              <m:sSub>
                <m:sSubPr>
                  <m:ctrlPr>
                    <w:rPr>
                      <w:rFonts w:ascii="Cambria Math" w:hAnsi="Cambria Math" w:eastAsia="DengXian"/>
                    </w:rPr>
                  </m:ctrlPr>
                </m:sSubPr>
                <m:e>
                  <m:r>
                    <m:rPr>
                      <m:sty m:val="p"/>
                    </m:rPr>
                    <w:rPr>
                      <w:rFonts w:ascii="Cambria Math" w:hAnsi="Cambria Math" w:eastAsia="DengXian"/>
                    </w:rPr>
                    <m:t>T</m:t>
                  </m:r>
                  <m:ctrlPr>
                    <w:rPr>
                      <w:rFonts w:ascii="Cambria Math" w:hAnsi="Cambria Math" w:eastAsia="DengXian"/>
                    </w:rPr>
                  </m:ctrlPr>
                </m:e>
                <m:sub>
                  <m:r>
                    <m:rPr>
                      <m:nor/>
                      <m:sty m:val="p"/>
                    </m:rPr>
                    <w:rPr>
                      <w:rFonts w:eastAsia="DengXian"/>
                      <w:b w:val="0"/>
                      <w:i w:val="0"/>
                    </w:rPr>
                    <m:t>delta</m:t>
                  </m:r>
                  <m:ctrlPr>
                    <w:rPr>
                      <w:rFonts w:ascii="Cambria Math" w:hAnsi="Cambria Math" w:eastAsia="DengXian"/>
                    </w:rPr>
                  </m:ctrlPr>
                </m:sub>
              </m:sSub>
            </m:oMath>
            <w:r>
              <w:t xml:space="preserve"> in a Timing Delta MAC CE [11, TS 38.321] from a serving cell, the IAB-node</w:t>
            </w:r>
            <w:r>
              <w:rPr>
                <w:lang w:eastAsia="zh-CN"/>
              </w:rPr>
              <w:t xml:space="preserve"> may assume that </w:t>
            </w:r>
            <m:oMath>
              <m:sSub>
                <m:sSubPr>
                  <m:ctrlPr>
                    <w:rPr>
                      <w:rFonts w:ascii="Cambria Math" w:hAnsi="Cambria Math" w:eastAsia="DengXian"/>
                    </w:rPr>
                  </m:ctrlPr>
                </m:sSubPr>
                <m:e>
                  <m:r>
                    <w:rPr>
                      <w:rFonts w:ascii="Cambria Math" w:hAnsi="Cambria Math" w:eastAsia="DengXian"/>
                    </w:rPr>
                    <m:t>T</m:t>
                  </m:r>
                  <m:ctrlPr>
                    <w:rPr>
                      <w:rFonts w:ascii="Cambria Math" w:hAnsi="Cambria Math" w:eastAsia="DengXian"/>
                    </w:rPr>
                  </m:ctrlPr>
                </m:e>
                <m:sub>
                  <m:r>
                    <m:rPr>
                      <m:nor/>
                      <m:sty m:val="p"/>
                    </m:rPr>
                    <w:rPr>
                      <w:rFonts w:eastAsia="DengXian"/>
                      <w:b w:val="0"/>
                      <w:i w:val="0"/>
                    </w:rPr>
                    <m:t>TA</m:t>
                  </m:r>
                  <m:ctrlPr>
                    <w:rPr>
                      <w:rFonts w:ascii="Cambria Math" w:hAnsi="Cambria Math" w:eastAsia="DengXian"/>
                    </w:rPr>
                  </m:ctrlPr>
                </m:sub>
              </m:sSub>
              <m:r>
                <m:rPr>
                  <m:sty m:val="p"/>
                </m:rPr>
                <w:rPr>
                  <w:rFonts w:ascii="Cambria Math" w:hAnsi="Cambria Math" w:eastAsia="DengXian"/>
                </w:rPr>
                <m:t>/2+</m:t>
              </m:r>
              <m:d>
                <m:dPr>
                  <m:ctrlPr>
                    <w:rPr>
                      <w:rFonts w:ascii="Cambria Math" w:hAnsi="Cambria Math"/>
                    </w:rPr>
                  </m:ctrlPr>
                </m:dPr>
                <m:e>
                  <m:sSub>
                    <m:sSubPr>
                      <m:ctrlPr>
                        <w:rPr>
                          <w:rFonts w:ascii="Cambria Math" w:hAnsi="Cambria Math" w:eastAsia="DengXian"/>
                        </w:rPr>
                      </m:ctrlPr>
                    </m:sSubPr>
                    <m:e>
                      <m:r>
                        <w:rPr>
                          <w:rFonts w:ascii="Cambria Math" w:hAnsi="Cambria Math" w:eastAsia="DengXian"/>
                        </w:rPr>
                        <m:t>N</m:t>
                      </m:r>
                      <m:ctrlPr>
                        <w:rPr>
                          <w:rFonts w:ascii="Cambria Math" w:hAnsi="Cambria Math" w:eastAsia="DengXian"/>
                        </w:rPr>
                      </m:ctrlPr>
                    </m:e>
                    <m:sub>
                      <m:r>
                        <m:rPr>
                          <m:nor/>
                          <m:sty m:val="p"/>
                        </m:rPr>
                        <w:rPr>
                          <w:rFonts w:eastAsia="DengXian"/>
                          <w:b w:val="0"/>
                          <w:i w:val="0"/>
                        </w:rPr>
                        <m:t>delta</m:t>
                      </m:r>
                      <m:ctrlPr>
                        <w:rPr>
                          <w:rFonts w:ascii="Cambria Math" w:hAnsi="Cambria Math" w:eastAsia="DengXian"/>
                        </w:rPr>
                      </m:ctrlPr>
                    </m:sub>
                  </m:sSub>
                  <m:r>
                    <w:rPr>
                      <w:rFonts w:ascii="Cambria Math" w:hAnsi="Cambria Math" w:eastAsia="DengXian"/>
                    </w:rPr>
                    <m:t>+</m:t>
                  </m:r>
                  <m:sSub>
                    <m:sSubPr>
                      <m:ctrlPr>
                        <w:rPr>
                          <w:rFonts w:ascii="Cambria Math" w:hAnsi="Cambria Math" w:eastAsia="DengXian"/>
                        </w:rPr>
                      </m:ctrlPr>
                    </m:sSubPr>
                    <m:e>
                      <m:r>
                        <w:rPr>
                          <w:rFonts w:ascii="Cambria Math" w:hAnsi="Cambria Math" w:eastAsia="DengXian"/>
                        </w:rPr>
                        <m:t>T</m:t>
                      </m:r>
                      <m:ctrlPr>
                        <w:rPr>
                          <w:rFonts w:ascii="Cambria Math" w:hAnsi="Cambria Math" w:eastAsia="DengXian"/>
                        </w:rPr>
                      </m:ctrlPr>
                    </m:e>
                    <m:sub>
                      <m:r>
                        <m:rPr>
                          <m:nor/>
                          <m:sty m:val="p"/>
                        </m:rPr>
                        <w:rPr>
                          <w:rFonts w:eastAsia="DengXian"/>
                          <w:b w:val="0"/>
                          <w:i w:val="0"/>
                        </w:rPr>
                        <m:t>delta</m:t>
                      </m:r>
                      <m:ctrlPr>
                        <w:rPr>
                          <w:rFonts w:ascii="Cambria Math" w:hAnsi="Cambria Math" w:eastAsia="DengXian"/>
                        </w:rPr>
                      </m:ctrlPr>
                    </m:sub>
                  </m:sSub>
                  <m:r>
                    <m:rPr>
                      <m:sty m:val="p"/>
                    </m:rPr>
                    <w:rPr>
                      <w:rFonts w:ascii="Cambria Math" w:hAnsi="Cambria Math"/>
                    </w:rPr>
                    <m:t>⋅</m:t>
                  </m:r>
                  <m:sSub>
                    <m:sSubPr>
                      <m:ctrlPr>
                        <w:rPr>
                          <w:rFonts w:ascii="Cambria Math" w:hAnsi="Cambria Math" w:eastAsia="DengXian"/>
                        </w:rPr>
                      </m:ctrlPr>
                    </m:sSubPr>
                    <m:e>
                      <m:r>
                        <m:rPr>
                          <m:sty m:val="p"/>
                        </m:rPr>
                        <w:rPr>
                          <w:rFonts w:ascii="Cambria Math" w:hAnsi="Cambria Math" w:eastAsia="DengXian"/>
                        </w:rPr>
                        <m:t>G</m:t>
                      </m:r>
                      <m:ctrlPr>
                        <w:rPr>
                          <w:rFonts w:ascii="Cambria Math" w:hAnsi="Cambria Math" w:eastAsia="DengXian"/>
                        </w:rPr>
                      </m:ctrlPr>
                    </m:e>
                    <m:sub>
                      <m:r>
                        <m:rPr>
                          <m:nor/>
                          <m:sty m:val="p"/>
                        </m:rPr>
                        <w:rPr>
                          <w:rFonts w:ascii="Cambria Math" w:eastAsia="DengXian"/>
                          <w:b w:val="0"/>
                          <w:i w:val="0"/>
                        </w:rPr>
                        <m:t>step</m:t>
                      </m:r>
                      <m:ctrlPr>
                        <w:rPr>
                          <w:rFonts w:ascii="Cambria Math" w:hAnsi="Cambria Math" w:eastAsia="DengXian"/>
                        </w:rPr>
                      </m:ctrlPr>
                    </m:sub>
                  </m:sSub>
                  <m:sSub>
                    <m:sSubPr>
                      <m:ctrlPr>
                        <w:rPr>
                          <w:rFonts w:ascii="Cambria Math" w:hAnsi="Cambria Math" w:eastAsia="DengXian"/>
                        </w:rPr>
                      </m:ctrlPr>
                    </m:sSubPr>
                    <m:e>
                      <m:r>
                        <m:rPr>
                          <m:sty m:val="p"/>
                        </m:rPr>
                        <w:rPr>
                          <w:rFonts w:ascii="Cambria Math" w:hAnsi="Cambria Math" w:eastAsia="DengXian"/>
                        </w:rPr>
                        <m:t>-</m:t>
                      </m:r>
                      <m:r>
                        <w:rPr>
                          <w:rFonts w:ascii="Cambria Math" w:hAnsi="Cambria Math" w:eastAsia="DengXian"/>
                        </w:rPr>
                        <m:t>N</m:t>
                      </m:r>
                      <m:ctrlPr>
                        <w:rPr>
                          <w:rFonts w:ascii="Cambria Math" w:hAnsi="Cambria Math" w:eastAsia="DengXian"/>
                        </w:rPr>
                      </m:ctrlPr>
                    </m:e>
                    <m:sub>
                      <m:r>
                        <m:rPr>
                          <m:nor/>
                          <m:sty m:val="p"/>
                        </m:rPr>
                        <w:rPr>
                          <w:rFonts w:eastAsia="DengXian"/>
                          <w:b w:val="0"/>
                          <w:i w:val="0"/>
                        </w:rPr>
                        <m:t>TA</m:t>
                      </m:r>
                      <m:r>
                        <m:rPr>
                          <m:nor/>
                          <m:sty m:val="p"/>
                        </m:rPr>
                        <w:rPr>
                          <w:rFonts w:ascii="Cambria Math" w:eastAsia="DengXian"/>
                          <w:b w:val="0"/>
                          <w:i w:val="0"/>
                        </w:rPr>
                        <m:t>,Offset</m:t>
                      </m:r>
                      <m:ctrlPr>
                        <w:rPr>
                          <w:rFonts w:ascii="Cambria Math" w:hAnsi="Cambria Math" w:eastAsia="DengXian"/>
                        </w:rPr>
                      </m:ctrlPr>
                    </m:sub>
                  </m:sSub>
                  <m:r>
                    <m:rPr>
                      <m:sty m:val="p"/>
                    </m:rPr>
                    <w:rPr>
                      <w:rFonts w:ascii="Cambria Math" w:hAnsi="Cambria Math" w:eastAsia="DengXian"/>
                    </w:rPr>
                    <m:t>/2</m:t>
                  </m:r>
                  <m:ctrlPr>
                    <w:rPr>
                      <w:rFonts w:ascii="Cambria Math" w:hAnsi="Cambria Math"/>
                    </w:rPr>
                  </m:ctrlPr>
                </m:e>
              </m:d>
              <m:r>
                <m:rPr>
                  <m:sty m:val="p"/>
                </m:rPr>
                <w:rPr>
                  <w:rFonts w:ascii="Cambria Math" w:hAnsi="Cambria Math"/>
                </w:rPr>
                <m:t>⋅</m:t>
              </m:r>
              <m:sSub>
                <m:sSubPr>
                  <m:ctrlPr>
                    <w:rPr>
                      <w:rFonts w:ascii="Cambria Math" w:hAnsi="Cambria Math" w:eastAsia="DengXian"/>
                    </w:rPr>
                  </m:ctrlPr>
                </m:sSubPr>
                <m:e>
                  <m:r>
                    <m:rPr>
                      <m:sty m:val="p"/>
                    </m:rPr>
                    <w:rPr>
                      <w:rFonts w:ascii="Cambria Math" w:hAnsi="Cambria Math" w:eastAsia="DengXian"/>
                    </w:rPr>
                    <m:t>T</m:t>
                  </m:r>
                  <m:ctrlPr>
                    <w:rPr>
                      <w:rFonts w:ascii="Cambria Math" w:hAnsi="Cambria Math" w:eastAsia="DengXian"/>
                    </w:rPr>
                  </m:ctrlPr>
                </m:e>
                <m:sub>
                  <m:r>
                    <m:rPr>
                      <m:nor/>
                      <m:sty m:val="p"/>
                    </m:rPr>
                    <w:rPr>
                      <w:rFonts w:eastAsia="DengXian"/>
                      <w:b w:val="0"/>
                      <w:i w:val="0"/>
                    </w:rPr>
                    <m:t>c</m:t>
                  </m:r>
                  <m:ctrlPr>
                    <w:rPr>
                      <w:rFonts w:ascii="Cambria Math" w:hAnsi="Cambria Math" w:eastAsia="DengXian"/>
                    </w:rPr>
                  </m:ctrlPr>
                </m:sub>
              </m:sSub>
            </m:oMath>
            <w:r>
              <w:t xml:space="preserve"> </w:t>
            </w:r>
            <w:r>
              <w:rPr>
                <w:iCs/>
                <w:lang w:val="en-US" w:eastAsia="zh-CN"/>
              </w:rPr>
              <w:t>is a time difference between a DU transmission of a signal from the serving cell and a reception of the signal by the IAB-MT</w:t>
            </w:r>
            <w:r>
              <w:t xml:space="preserve"> when </w:t>
            </w:r>
            <m:oMath>
              <m:sSub>
                <m:sSubPr>
                  <m:ctrlPr>
                    <w:rPr>
                      <w:rFonts w:ascii="Cambria Math" w:hAnsi="Cambria Math" w:eastAsia="DengXian"/>
                    </w:rPr>
                  </m:ctrlPr>
                </m:sSubPr>
                <m:e>
                  <m:r>
                    <w:rPr>
                      <w:rFonts w:ascii="Cambria Math" w:hAnsi="Cambria Math" w:eastAsia="DengXian"/>
                    </w:rPr>
                    <m:t>T</m:t>
                  </m:r>
                  <m:ctrlPr>
                    <w:rPr>
                      <w:rFonts w:ascii="Cambria Math" w:hAnsi="Cambria Math" w:eastAsia="DengXian"/>
                    </w:rPr>
                  </m:ctrlPr>
                </m:e>
                <m:sub>
                  <m:r>
                    <m:rPr>
                      <m:nor/>
                      <m:sty m:val="p"/>
                    </m:rPr>
                    <w:rPr>
                      <w:rFonts w:eastAsia="DengXian"/>
                      <w:b w:val="0"/>
                      <w:i w:val="0"/>
                    </w:rPr>
                    <m:t>TA</m:t>
                  </m:r>
                  <m:ctrlPr>
                    <w:rPr>
                      <w:rFonts w:ascii="Cambria Math" w:hAnsi="Cambria Math" w:eastAsia="DengXian"/>
                    </w:rPr>
                  </m:ctrlPr>
                </m:sub>
              </m:sSub>
              <m:r>
                <m:rPr>
                  <m:sty m:val="p"/>
                </m:rPr>
                <w:rPr>
                  <w:rFonts w:ascii="Cambria Math" w:hAnsi="Cambria Math" w:eastAsia="DengXian"/>
                </w:rPr>
                <m:t>/2+</m:t>
              </m:r>
              <m:d>
                <m:dPr>
                  <m:ctrlPr>
                    <w:rPr>
                      <w:rFonts w:ascii="Cambria Math" w:hAnsi="Cambria Math"/>
                    </w:rPr>
                  </m:ctrlPr>
                </m:dPr>
                <m:e>
                  <m:sSub>
                    <m:sSubPr>
                      <m:ctrlPr>
                        <w:rPr>
                          <w:rFonts w:ascii="Cambria Math" w:hAnsi="Cambria Math" w:eastAsia="DengXian"/>
                        </w:rPr>
                      </m:ctrlPr>
                    </m:sSubPr>
                    <m:e>
                      <m:r>
                        <w:rPr>
                          <w:rFonts w:ascii="Cambria Math" w:hAnsi="Cambria Math" w:eastAsia="DengXian"/>
                        </w:rPr>
                        <m:t>N</m:t>
                      </m:r>
                      <m:ctrlPr>
                        <w:rPr>
                          <w:rFonts w:ascii="Cambria Math" w:hAnsi="Cambria Math" w:eastAsia="DengXian"/>
                        </w:rPr>
                      </m:ctrlPr>
                    </m:e>
                    <m:sub>
                      <m:r>
                        <m:rPr>
                          <m:nor/>
                          <m:sty m:val="p"/>
                        </m:rPr>
                        <w:rPr>
                          <w:rFonts w:eastAsia="DengXian"/>
                          <w:b w:val="0"/>
                          <w:i w:val="0"/>
                        </w:rPr>
                        <m:t>delta</m:t>
                      </m:r>
                      <m:ctrlPr>
                        <w:rPr>
                          <w:rFonts w:ascii="Cambria Math" w:hAnsi="Cambria Math" w:eastAsia="DengXian"/>
                        </w:rPr>
                      </m:ctrlPr>
                    </m:sub>
                  </m:sSub>
                  <m:r>
                    <w:rPr>
                      <w:rFonts w:ascii="Cambria Math" w:hAnsi="Cambria Math" w:eastAsia="DengXian"/>
                    </w:rPr>
                    <m:t>+</m:t>
                  </m:r>
                  <m:sSub>
                    <m:sSubPr>
                      <m:ctrlPr>
                        <w:rPr>
                          <w:rFonts w:ascii="Cambria Math" w:hAnsi="Cambria Math" w:eastAsia="DengXian"/>
                        </w:rPr>
                      </m:ctrlPr>
                    </m:sSubPr>
                    <m:e>
                      <m:r>
                        <w:rPr>
                          <w:rFonts w:ascii="Cambria Math" w:hAnsi="Cambria Math" w:eastAsia="DengXian"/>
                        </w:rPr>
                        <m:t>T</m:t>
                      </m:r>
                      <m:ctrlPr>
                        <w:rPr>
                          <w:rFonts w:ascii="Cambria Math" w:hAnsi="Cambria Math" w:eastAsia="DengXian"/>
                        </w:rPr>
                      </m:ctrlPr>
                    </m:e>
                    <m:sub>
                      <m:r>
                        <m:rPr>
                          <m:nor/>
                          <m:sty m:val="p"/>
                        </m:rPr>
                        <w:rPr>
                          <w:rFonts w:eastAsia="DengXian"/>
                          <w:b w:val="0"/>
                          <w:i w:val="0"/>
                        </w:rPr>
                        <m:t>delta</m:t>
                      </m:r>
                      <m:ctrlPr>
                        <w:rPr>
                          <w:rFonts w:ascii="Cambria Math" w:hAnsi="Cambria Math" w:eastAsia="DengXian"/>
                        </w:rPr>
                      </m:ctrlPr>
                    </m:sub>
                  </m:sSub>
                  <m:r>
                    <m:rPr>
                      <m:sty m:val="p"/>
                    </m:rPr>
                    <w:rPr>
                      <w:rFonts w:ascii="Cambria Math" w:hAnsi="Cambria Math"/>
                    </w:rPr>
                    <m:t>⋅</m:t>
                  </m:r>
                  <m:sSub>
                    <m:sSubPr>
                      <m:ctrlPr>
                        <w:rPr>
                          <w:rFonts w:ascii="Cambria Math" w:hAnsi="Cambria Math" w:eastAsia="DengXian"/>
                        </w:rPr>
                      </m:ctrlPr>
                    </m:sSubPr>
                    <m:e>
                      <m:r>
                        <m:rPr>
                          <m:sty m:val="p"/>
                        </m:rPr>
                        <w:rPr>
                          <w:rFonts w:ascii="Cambria Math" w:hAnsi="Cambria Math" w:eastAsia="DengXian"/>
                        </w:rPr>
                        <m:t>G</m:t>
                      </m:r>
                      <m:ctrlPr>
                        <w:rPr>
                          <w:rFonts w:ascii="Cambria Math" w:hAnsi="Cambria Math" w:eastAsia="DengXian"/>
                        </w:rPr>
                      </m:ctrlPr>
                    </m:e>
                    <m:sub>
                      <m:r>
                        <m:rPr>
                          <m:nor/>
                          <m:sty m:val="p"/>
                        </m:rPr>
                        <w:rPr>
                          <w:rFonts w:ascii="Cambria Math" w:eastAsia="DengXian"/>
                          <w:b w:val="0"/>
                          <w:i w:val="0"/>
                        </w:rPr>
                        <m:t>step</m:t>
                      </m:r>
                      <m:ctrlPr>
                        <w:rPr>
                          <w:rFonts w:ascii="Cambria Math" w:hAnsi="Cambria Math" w:eastAsia="DengXian"/>
                        </w:rPr>
                      </m:ctrlPr>
                    </m:sub>
                  </m:sSub>
                  <m:sSub>
                    <m:sSubPr>
                      <m:ctrlPr>
                        <w:rPr>
                          <w:rFonts w:ascii="Cambria Math" w:hAnsi="Cambria Math" w:eastAsia="DengXian"/>
                        </w:rPr>
                      </m:ctrlPr>
                    </m:sSubPr>
                    <m:e>
                      <m:r>
                        <m:rPr>
                          <m:sty m:val="p"/>
                        </m:rPr>
                        <w:rPr>
                          <w:rFonts w:ascii="Cambria Math" w:hAnsi="Cambria Math" w:eastAsia="DengXian"/>
                        </w:rPr>
                        <m:t>-</m:t>
                      </m:r>
                      <m:r>
                        <w:rPr>
                          <w:rFonts w:ascii="Cambria Math" w:hAnsi="Cambria Math" w:eastAsia="DengXian"/>
                        </w:rPr>
                        <m:t>N</m:t>
                      </m:r>
                      <m:ctrlPr>
                        <w:rPr>
                          <w:rFonts w:ascii="Cambria Math" w:hAnsi="Cambria Math" w:eastAsia="DengXian"/>
                        </w:rPr>
                      </m:ctrlPr>
                    </m:e>
                    <m:sub>
                      <m:r>
                        <m:rPr>
                          <m:nor/>
                          <m:sty m:val="p"/>
                        </m:rPr>
                        <w:rPr>
                          <w:rFonts w:eastAsia="DengXian"/>
                          <w:b w:val="0"/>
                          <w:i w:val="0"/>
                        </w:rPr>
                        <m:t>TA</m:t>
                      </m:r>
                      <m:r>
                        <m:rPr>
                          <m:nor/>
                          <m:sty m:val="p"/>
                        </m:rPr>
                        <w:rPr>
                          <w:rFonts w:ascii="Cambria Math" w:eastAsia="DengXian"/>
                          <w:b w:val="0"/>
                          <w:i w:val="0"/>
                        </w:rPr>
                        <m:t>,Offset</m:t>
                      </m:r>
                      <m:ctrlPr>
                        <w:rPr>
                          <w:rFonts w:ascii="Cambria Math" w:hAnsi="Cambria Math" w:eastAsia="DengXian"/>
                        </w:rPr>
                      </m:ctrlPr>
                    </m:sub>
                  </m:sSub>
                  <m:r>
                    <m:rPr>
                      <m:sty m:val="p"/>
                    </m:rPr>
                    <w:rPr>
                      <w:rFonts w:ascii="Cambria Math" w:hAnsi="Cambria Math" w:eastAsia="DengXian"/>
                    </w:rPr>
                    <m:t>/2</m:t>
                  </m:r>
                  <m:ctrlPr>
                    <w:rPr>
                      <w:rFonts w:ascii="Cambria Math" w:hAnsi="Cambria Math"/>
                    </w:rPr>
                  </m:ctrlPr>
                </m:e>
              </m:d>
              <m:r>
                <m:rPr>
                  <m:sty m:val="p"/>
                </m:rPr>
                <w:rPr>
                  <w:rFonts w:ascii="Cambria Math" w:hAnsi="Cambria Math"/>
                </w:rPr>
                <m:t>⋅</m:t>
              </m:r>
              <m:sSub>
                <m:sSubPr>
                  <m:ctrlPr>
                    <w:rPr>
                      <w:rFonts w:ascii="Cambria Math" w:hAnsi="Cambria Math" w:eastAsia="DengXian"/>
                    </w:rPr>
                  </m:ctrlPr>
                </m:sSubPr>
                <m:e>
                  <m:r>
                    <m:rPr>
                      <m:sty m:val="p"/>
                    </m:rPr>
                    <w:rPr>
                      <w:rFonts w:ascii="Cambria Math" w:hAnsi="Cambria Math" w:eastAsia="DengXian"/>
                    </w:rPr>
                    <m:t>T</m:t>
                  </m:r>
                  <m:ctrlPr>
                    <w:rPr>
                      <w:rFonts w:ascii="Cambria Math" w:hAnsi="Cambria Math" w:eastAsia="DengXian"/>
                    </w:rPr>
                  </m:ctrlPr>
                </m:e>
                <m:sub>
                  <m:r>
                    <m:rPr>
                      <m:nor/>
                      <m:sty m:val="p"/>
                    </m:rPr>
                    <w:rPr>
                      <w:rFonts w:eastAsia="DengXian"/>
                      <w:b w:val="0"/>
                      <w:i w:val="0"/>
                    </w:rPr>
                    <m:t>c</m:t>
                  </m:r>
                  <m:ctrlPr>
                    <w:rPr>
                      <w:rFonts w:ascii="Cambria Math" w:hAnsi="Cambria Math" w:eastAsia="DengXian"/>
                    </w:rPr>
                  </m:ctrlPr>
                </m:sub>
              </m:sSub>
              <m:r>
                <w:rPr>
                  <w:rFonts w:ascii="Cambria Math" w:hAnsi="Cambria Math" w:eastAsia="DengXian"/>
                </w:rPr>
                <m:t>&gt;0</m:t>
              </m:r>
            </m:oMath>
            <w:r>
              <w:t xml:space="preserve">, where </w:t>
            </w:r>
          </w:p>
          <w:p>
            <w:pPr>
              <w:pStyle w:val="31"/>
              <w:keepNext w:val="0"/>
              <w:keepLines w:val="0"/>
              <w:pageBreakBefore w:val="0"/>
              <w:widowControl/>
              <w:kinsoku/>
              <w:wordWrap/>
              <w:overflowPunct/>
              <w:topLinePunct w:val="0"/>
              <w:autoSpaceDE/>
              <w:autoSpaceDN/>
              <w:bidi w:val="0"/>
              <w:adjustRightInd w:val="0"/>
              <w:snapToGrid w:val="0"/>
              <w:spacing w:line="240" w:lineRule="auto"/>
              <w:textAlignment w:val="auto"/>
              <w:rPr>
                <w:bCs/>
                <w:iCs/>
              </w:rPr>
            </w:pPr>
            <w:r>
              <w:t>-</w:t>
            </w:r>
            <w:r>
              <w:tab/>
            </w:r>
            <m:oMath>
              <m:sSub>
                <m:sSubPr>
                  <m:ctrlPr>
                    <w:rPr>
                      <w:rFonts w:ascii="Cambria Math" w:hAnsi="Cambria Math" w:eastAsia="DengXian"/>
                    </w:rPr>
                  </m:ctrlPr>
                </m:sSubPr>
                <m:e>
                  <m:r>
                    <w:rPr>
                      <w:rFonts w:ascii="Cambria Math" w:hAnsi="Cambria Math" w:eastAsia="DengXian"/>
                    </w:rPr>
                    <m:t>T</m:t>
                  </m:r>
                  <m:ctrlPr>
                    <w:rPr>
                      <w:rFonts w:ascii="Cambria Math" w:hAnsi="Cambria Math" w:eastAsia="DengXian"/>
                    </w:rPr>
                  </m:ctrlPr>
                </m:e>
                <m:sub>
                  <m:r>
                    <m:rPr>
                      <m:nor/>
                      <m:sty m:val="p"/>
                    </m:rPr>
                    <w:rPr>
                      <w:rFonts w:eastAsia="DengXian"/>
                      <w:b w:val="0"/>
                      <w:i w:val="0"/>
                    </w:rPr>
                    <m:t>TA</m:t>
                  </m:r>
                  <m:ctrlPr>
                    <w:rPr>
                      <w:rFonts w:ascii="Cambria Math" w:hAnsi="Cambria Math" w:eastAsia="DengXian"/>
                    </w:rPr>
                  </m:ctrlPr>
                </m:sub>
              </m:sSub>
            </m:oMath>
            <w:r>
              <w:t xml:space="preserve"> is the difference between the IAB-MT reception time and the IAB-MT transmission time for IAB-MT transmission timing mode 'Case6', and is defined in clause 4.3.1 of [4, TS 38.211] for IAB-MT transmission timing mode 'Case1' and parent node reception mode 'Case7'</w:t>
            </w:r>
          </w:p>
          <w:p>
            <w:pPr>
              <w:pStyle w:val="31"/>
              <w:keepNext w:val="0"/>
              <w:keepLines w:val="0"/>
              <w:pageBreakBefore w:val="0"/>
              <w:widowControl/>
              <w:kinsoku/>
              <w:wordWrap/>
              <w:overflowPunct/>
              <w:topLinePunct w:val="0"/>
              <w:autoSpaceDE/>
              <w:autoSpaceDN/>
              <w:bidi w:val="0"/>
              <w:adjustRightInd w:val="0"/>
              <w:snapToGrid w:val="0"/>
              <w:spacing w:line="240" w:lineRule="auto"/>
              <w:textAlignment w:val="auto"/>
            </w:pPr>
            <w:r>
              <w:t>-</w:t>
            </w:r>
            <w:r>
              <w:tab/>
            </w:r>
            <m:oMath>
              <m:sSub>
                <m:sSubPr>
                  <m:ctrlPr>
                    <w:rPr>
                      <w:rFonts w:ascii="Cambria Math" w:hAnsi="Cambria Math" w:eastAsia="DengXian"/>
                    </w:rPr>
                  </m:ctrlPr>
                </m:sSubPr>
                <m:e>
                  <m:r>
                    <w:rPr>
                      <w:rFonts w:ascii="Cambria Math" w:hAnsi="Cambria Math" w:eastAsia="DengXian"/>
                    </w:rPr>
                    <m:t>N</m:t>
                  </m:r>
                  <m:ctrlPr>
                    <w:rPr>
                      <w:rFonts w:ascii="Cambria Math" w:hAnsi="Cambria Math" w:eastAsia="DengXian"/>
                    </w:rPr>
                  </m:ctrlPr>
                </m:e>
                <m:sub>
                  <m:r>
                    <m:rPr>
                      <m:nor/>
                      <m:sty m:val="p"/>
                    </m:rPr>
                    <w:rPr>
                      <w:rFonts w:eastAsia="DengXian"/>
                      <w:b w:val="0"/>
                      <w:i w:val="0"/>
                    </w:rPr>
                    <m:t>delta</m:t>
                  </m:r>
                  <m:ctrlPr>
                    <w:rPr>
                      <w:rFonts w:ascii="Cambria Math" w:hAnsi="Cambria Math" w:eastAsia="DengXian"/>
                    </w:rPr>
                  </m:ctrlPr>
                </m:sub>
              </m:sSub>
            </m:oMath>
            <w:r>
              <w:t xml:space="preserve"> and </w:t>
            </w:r>
            <m:oMath>
              <m:sSub>
                <m:sSubPr>
                  <m:ctrlPr>
                    <w:rPr>
                      <w:rFonts w:ascii="Cambria Math" w:hAnsi="Cambria Math" w:eastAsia="DengXian"/>
                    </w:rPr>
                  </m:ctrlPr>
                </m:sSubPr>
                <m:e>
                  <m:r>
                    <m:rPr>
                      <m:sty m:val="p"/>
                    </m:rPr>
                    <w:rPr>
                      <w:rFonts w:ascii="Cambria Math" w:hAnsi="Cambria Math" w:eastAsia="DengXian"/>
                    </w:rPr>
                    <m:t>G</m:t>
                  </m:r>
                  <m:ctrlPr>
                    <w:rPr>
                      <w:rFonts w:ascii="Cambria Math" w:hAnsi="Cambria Math" w:eastAsia="DengXian"/>
                    </w:rPr>
                  </m:ctrlPr>
                </m:e>
                <m:sub>
                  <m:r>
                    <m:rPr>
                      <m:nor/>
                      <m:sty m:val="p"/>
                    </m:rPr>
                    <w:rPr>
                      <w:rFonts w:ascii="Cambria Math" w:eastAsia="DengXian"/>
                      <w:b w:val="0"/>
                      <w:i w:val="0"/>
                    </w:rPr>
                    <m:t>step</m:t>
                  </m:r>
                  <m:ctrlPr>
                    <w:rPr>
                      <w:rFonts w:ascii="Cambria Math" w:hAnsi="Cambria Math" w:eastAsia="DengXian"/>
                    </w:rPr>
                  </m:ctrlPr>
                </m:sub>
              </m:sSub>
            </m:oMath>
            <w:r>
              <w:t xml:space="preserve"> are determined as</w:t>
            </w:r>
          </w:p>
          <w:p>
            <w:pPr>
              <w:pStyle w:val="57"/>
              <w:keepNext w:val="0"/>
              <w:keepLines w:val="0"/>
              <w:pageBreakBefore w:val="0"/>
              <w:widowControl/>
              <w:kinsoku/>
              <w:wordWrap/>
              <w:overflowPunct/>
              <w:topLinePunct w:val="0"/>
              <w:autoSpaceDE/>
              <w:autoSpaceDN/>
              <w:bidi w:val="0"/>
              <w:adjustRightInd w:val="0"/>
              <w:snapToGrid w:val="0"/>
              <w:spacing w:line="240" w:lineRule="auto"/>
              <w:textAlignment w:val="auto"/>
            </w:pPr>
            <w:r>
              <w:t>-</w:t>
            </w:r>
            <w:r>
              <w:tab/>
            </w:r>
            <m:oMath>
              <m:sSub>
                <m:sSubPr>
                  <m:ctrlPr>
                    <w:rPr>
                      <w:rFonts w:ascii="Cambria Math" w:hAnsi="Cambria Math" w:eastAsia="DengXian"/>
                      <w:i/>
                    </w:rPr>
                  </m:ctrlPr>
                </m:sSubPr>
                <m:e>
                  <m:r>
                    <w:rPr>
                      <w:rFonts w:ascii="Cambria Math" w:hAnsi="Cambria Math" w:eastAsia="DengXian"/>
                    </w:rPr>
                    <m:t>N</m:t>
                  </m:r>
                  <m:ctrlPr>
                    <w:rPr>
                      <w:rFonts w:ascii="Cambria Math" w:hAnsi="Cambria Math" w:eastAsia="DengXian"/>
                      <w:i/>
                    </w:rPr>
                  </m:ctrlPr>
                </m:e>
                <m:sub>
                  <m:r>
                    <m:rPr>
                      <m:nor/>
                    </m:rPr>
                    <w:rPr>
                      <w:rFonts w:eastAsia="DengXian"/>
                      <w:i/>
                    </w:rPr>
                    <m:t>delta</m:t>
                  </m:r>
                  <m:ctrlPr>
                    <w:rPr>
                      <w:rFonts w:ascii="Cambria Math" w:hAnsi="Cambria Math" w:eastAsia="DengXian"/>
                      <w:i/>
                    </w:rPr>
                  </m:ctrlPr>
                </m:sub>
              </m:sSub>
              <m:r>
                <m:rPr>
                  <m:sty m:val="p"/>
                </m:rPr>
                <w:rPr>
                  <w:rFonts w:ascii="Cambria Math" w:hAnsi="Cambria Math" w:eastAsia="DengXian"/>
                </w:rPr>
                <m:t>=-70528</m:t>
              </m:r>
            </m:oMath>
            <w:r>
              <w:t xml:space="preserve"> and </w:t>
            </w:r>
            <m:oMath>
              <m:sSub>
                <m:sSubPr>
                  <m:ctrlPr>
                    <w:rPr>
                      <w:rFonts w:ascii="Cambria Math" w:hAnsi="Cambria Math"/>
                      <w:i/>
                    </w:rPr>
                  </m:ctrlPr>
                </m:sSubPr>
                <m:e>
                  <m:r>
                    <w:rPr>
                      <w:rFonts w:ascii="Cambria Math" w:hAnsi="Cambria Math"/>
                    </w:rPr>
                    <m:t>G</m:t>
                  </m:r>
                  <m:ctrlPr>
                    <w:rPr>
                      <w:rFonts w:ascii="Cambria Math" w:hAnsi="Cambria Math"/>
                      <w:i/>
                    </w:rPr>
                  </m:ctrlPr>
                </m:e>
                <m:sub>
                  <m:r>
                    <w:rPr>
                      <w:rFonts w:ascii="Cambria Math" w:hAnsi="Cambria Math"/>
                    </w:rPr>
                    <m:t>step</m:t>
                  </m:r>
                  <m:ctrlPr>
                    <w:rPr>
                      <w:rFonts w:ascii="Cambria Math" w:hAnsi="Cambria Math"/>
                      <w:i/>
                    </w:rPr>
                  </m:ctrlPr>
                </m:sub>
              </m:sSub>
              <m:r>
                <w:rPr>
                  <w:rFonts w:ascii="Cambria Math" w:hAnsi="Cambria Math"/>
                </w:rPr>
                <m:t>=64</m:t>
              </m:r>
            </m:oMath>
            <w:r>
              <w:rPr>
                <w:lang w:val="en-US"/>
              </w:rPr>
              <w:t>, if</w:t>
            </w:r>
            <w:r>
              <w:t xml:space="preserve"> the serving cell providing the Timing Delta MAC CE operates in FR1 </w:t>
            </w:r>
          </w:p>
          <w:p>
            <w:pPr>
              <w:pStyle w:val="57"/>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bCs/>
                <w:kern w:val="0"/>
                <w:sz w:val="20"/>
                <w:szCs w:val="20"/>
                <w:vertAlign w:val="baseline"/>
                <w:lang w:val="en-US" w:eastAsia="zh-CN"/>
              </w:rPr>
            </w:pPr>
            <w:r>
              <w:t>-</w:t>
            </w:r>
            <w:r>
              <w:tab/>
            </w:r>
            <m:oMath>
              <m:sSub>
                <m:sSubPr>
                  <m:ctrlPr>
                    <w:rPr>
                      <w:rFonts w:ascii="Cambria Math" w:hAnsi="Cambria Math" w:eastAsia="DengXian"/>
                      <w:i/>
                    </w:rPr>
                  </m:ctrlPr>
                </m:sSubPr>
                <m:e>
                  <m:r>
                    <w:rPr>
                      <w:rFonts w:ascii="Cambria Math" w:hAnsi="Cambria Math" w:eastAsia="DengXian"/>
                    </w:rPr>
                    <m:t>N</m:t>
                  </m:r>
                  <m:ctrlPr>
                    <w:rPr>
                      <w:rFonts w:ascii="Cambria Math" w:hAnsi="Cambria Math" w:eastAsia="DengXian"/>
                      <w:i/>
                    </w:rPr>
                  </m:ctrlPr>
                </m:e>
                <m:sub>
                  <m:r>
                    <m:rPr>
                      <m:nor/>
                    </m:rPr>
                    <w:rPr>
                      <w:rFonts w:eastAsia="DengXian"/>
                      <w:i/>
                    </w:rPr>
                    <m:t>delta</m:t>
                  </m:r>
                  <m:ctrlPr>
                    <w:rPr>
                      <w:rFonts w:ascii="Cambria Math" w:hAnsi="Cambria Math" w:eastAsia="DengXian"/>
                      <w:i/>
                    </w:rPr>
                  </m:ctrlPr>
                </m:sub>
              </m:sSub>
              <m:r>
                <m:rPr>
                  <m:sty m:val="p"/>
                </m:rPr>
                <w:rPr>
                  <w:rFonts w:ascii="Cambria Math" w:hAnsi="Cambria Math" w:eastAsia="DengXian"/>
                </w:rPr>
                <m:t>=-17664</m:t>
              </m:r>
            </m:oMath>
            <w:r>
              <w:t xml:space="preserve"> and </w:t>
            </w:r>
            <m:oMath>
              <m:sSub>
                <m:sSubPr>
                  <m:ctrlPr>
                    <w:rPr>
                      <w:rFonts w:ascii="Cambria Math" w:hAnsi="Cambria Math"/>
                      <w:i/>
                    </w:rPr>
                  </m:ctrlPr>
                </m:sSubPr>
                <m:e>
                  <m:r>
                    <w:rPr>
                      <w:rFonts w:ascii="Cambria Math" w:hAnsi="Cambria Math"/>
                    </w:rPr>
                    <m:t>G</m:t>
                  </m:r>
                  <m:ctrlPr>
                    <w:rPr>
                      <w:rFonts w:ascii="Cambria Math" w:hAnsi="Cambria Math"/>
                      <w:i/>
                    </w:rPr>
                  </m:ctrlPr>
                </m:e>
                <m:sub>
                  <m:r>
                    <w:rPr>
                      <w:rFonts w:ascii="Cambria Math" w:hAnsi="Cambria Math"/>
                    </w:rPr>
                    <m:t>step</m:t>
                  </m:r>
                  <m:ctrlPr>
                    <w:rPr>
                      <w:rFonts w:ascii="Cambria Math" w:hAnsi="Cambria Math"/>
                      <w:i/>
                    </w:rPr>
                  </m:ctrlPr>
                </m:sub>
              </m:sSub>
              <m:r>
                <w:rPr>
                  <w:rFonts w:ascii="Cambria Math" w:hAnsi="Cambria Math"/>
                </w:rPr>
                <m:t>=32</m:t>
              </m:r>
            </m:oMath>
            <w:r>
              <w:rPr>
                <w:lang w:val="en-US"/>
              </w:rPr>
              <w:t>, if</w:t>
            </w:r>
            <w:r>
              <w:t xml:space="preserve"> the serving cell providing the Timing Delta MAC CE operates in FR</w:t>
            </w:r>
            <w:r>
              <w:rPr>
                <w:lang w:val="en-US"/>
              </w:rPr>
              <w:t>2</w:t>
            </w:r>
          </w:p>
        </w:tc>
      </w:tr>
    </w:tbl>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The Gstep is related to carrier frequency, Gstep = 64Tc for FR1 and Gstep = 32Tc for FR2. We think the DL Tx timing between parent node and child node can be adjusted with the accuracy of Tdelta which is much smaller than the CP duration as shown in table 1.</w:t>
      </w:r>
    </w:p>
    <w:p>
      <w:pPr>
        <w:pStyle w:val="29"/>
        <w:suppressAutoHyphens/>
        <w:adjustRightInd w:val="0"/>
        <w:snapToGrid w:val="0"/>
        <w:spacing w:beforeLines="50" w:after="0" w:line="240" w:lineRule="auto"/>
        <w:ind w:firstLine="0" w:firstLineChars="0"/>
        <w:jc w:val="center"/>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Table 1, Comparison between Tdelta accuracy and CP duartion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2378"/>
        <w:gridCol w:w="2379"/>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6" w:type="dxa"/>
            <w:gridSpan w:val="2"/>
          </w:tcPr>
          <w:p>
            <w:pPr>
              <w:pStyle w:val="29"/>
              <w:suppressAutoHyphens/>
              <w:adjustRightInd w:val="0"/>
              <w:snapToGrid w:val="0"/>
              <w:spacing w:beforeLines="50" w:after="0" w:line="240" w:lineRule="auto"/>
              <w:ind w:left="0" w:leftChars="0" w:firstLine="0" w:firstLineChars="0"/>
              <w:jc w:val="center"/>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Tdelta accuracy</w:t>
            </w:r>
          </w:p>
        </w:tc>
        <w:tc>
          <w:tcPr>
            <w:tcW w:w="4758" w:type="dxa"/>
            <w:gridSpan w:val="2"/>
          </w:tcPr>
          <w:p>
            <w:pPr>
              <w:pStyle w:val="29"/>
              <w:suppressAutoHyphens/>
              <w:adjustRightInd w:val="0"/>
              <w:snapToGrid w:val="0"/>
              <w:spacing w:beforeLines="50" w:after="0" w:line="240" w:lineRule="auto"/>
              <w:ind w:left="0" w:leftChars="0" w:firstLine="0" w:firstLineChars="0"/>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CP duration(normal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FR1</w:t>
            </w:r>
          </w:p>
        </w:tc>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FR2</w:t>
            </w:r>
          </w:p>
        </w:tc>
        <w:tc>
          <w:tcPr>
            <w:tcW w:w="2379" w:type="dxa"/>
          </w:tcPr>
          <w:p>
            <w:pPr>
              <w:pStyle w:val="29"/>
              <w:suppressAutoHyphens/>
              <w:adjustRightInd w:val="0"/>
              <w:snapToGrid w:val="0"/>
              <w:spacing w:beforeLines="50" w:after="0" w:line="240" w:lineRule="auto"/>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@30kHz FR1</w:t>
            </w:r>
          </w:p>
        </w:tc>
        <w:tc>
          <w:tcPr>
            <w:tcW w:w="2379" w:type="dxa"/>
          </w:tcPr>
          <w:p>
            <w:pPr>
              <w:pStyle w:val="29"/>
              <w:suppressAutoHyphens/>
              <w:adjustRightInd w:val="0"/>
              <w:snapToGrid w:val="0"/>
              <w:spacing w:beforeLines="50" w:after="0" w:line="240" w:lineRule="auto"/>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@120kHz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32.5ns</w:t>
            </w:r>
          </w:p>
        </w:tc>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16.3ns</w:t>
            </w:r>
          </w:p>
        </w:tc>
        <w:tc>
          <w:tcPr>
            <w:tcW w:w="2379" w:type="dxa"/>
          </w:tcPr>
          <w:p>
            <w:pPr>
              <w:pStyle w:val="29"/>
              <w:suppressAutoHyphens/>
              <w:adjustRightInd w:val="0"/>
              <w:snapToGrid w:val="0"/>
              <w:spacing w:beforeLines="50" w:after="0" w:line="240" w:lineRule="auto"/>
              <w:ind w:left="0" w:leftChars="0" w:firstLine="0" w:firstLineChars="0"/>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2343ns</w:t>
            </w:r>
          </w:p>
        </w:tc>
        <w:tc>
          <w:tcPr>
            <w:tcW w:w="2379"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586ns</w:t>
            </w:r>
          </w:p>
        </w:tc>
      </w:tr>
    </w:tbl>
    <w:p>
      <w:pPr>
        <w:pStyle w:val="29"/>
        <w:ind w:firstLine="0" w:firstLineChars="0"/>
        <w:rPr>
          <w:rFonts w:ascii="Times New Roman" w:hAnsi="Times New Roman"/>
          <w:b/>
          <w:sz w:val="20"/>
          <w:szCs w:val="20"/>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If OTA timing scheme is performed between parent IAB node and child IAB node, the timing difference between parent node and child node can be very smaller than the CP duration of FR1 and FR2 respectively</w:t>
      </w:r>
      <w:r>
        <w:rPr>
          <w:rFonts w:ascii="Times New Roman" w:hAnsi="Times New Roman"/>
          <w:b/>
          <w:sz w:val="20"/>
          <w:szCs w:val="20"/>
        </w:rPr>
        <w:t>.</w:t>
      </w:r>
    </w:p>
    <w:p>
      <w:pPr>
        <w:pStyle w:val="29"/>
        <w:suppressAutoHyphens/>
        <w:adjustRightInd w:val="0"/>
        <w:snapToGrid w:val="0"/>
        <w:spacing w:beforeLines="50" w:after="0" w:line="240" w:lineRule="auto"/>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If the timing difference between IAB-MT and IAB-DU is within the CP range and OTA timing mechanism is adopted between nodes, the previously reached timing difference between IAB-MT and IAB-DU of the same IAB-Node can be confirmed. </w:t>
      </w:r>
    </w:p>
    <w:p>
      <w:pPr>
        <w:pStyle w:val="29"/>
        <w:suppressAutoHyphens/>
        <w:adjustRightInd w:val="0"/>
        <w:snapToGrid w:val="0"/>
        <w:spacing w:beforeLines="50" w:after="0" w:line="240" w:lineRule="auto"/>
        <w:ind w:firstLine="0" w:firstLineChars="0"/>
        <w:rPr>
          <w:rFonts w:hint="default" w:ascii="Times New Roman" w:hAnsi="Times New Roman" w:eastAsia="宋体"/>
          <w:bCs/>
          <w:kern w:val="0"/>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w:t>
      </w:r>
      <w:r>
        <w:rPr>
          <w:rFonts w:hint="eastAsia" w:ascii="Times New Roman" w:hAnsi="Times New Roman"/>
          <w:b/>
          <w:sz w:val="20"/>
          <w:szCs w:val="20"/>
          <w:lang w:val="en-US" w:eastAsia="zh-CN"/>
        </w:rPr>
        <w:t xml:space="preserve"> To confirm the TAE requirement between IAB-DU and IAB-MT as min [3us , 4.69 / (SCS/15 kHz) µs]</w:t>
      </w:r>
      <w:r>
        <w:rPr>
          <w:rFonts w:ascii="Times New Roman" w:hAnsi="Times New Roman"/>
          <w:b/>
          <w:kern w:val="0"/>
          <w:sz w:val="20"/>
          <w:szCs w:val="20"/>
        </w:rPr>
        <w:t>.</w:t>
      </w:r>
    </w:p>
    <w:p>
      <w:pPr>
        <w:rPr>
          <w:b/>
          <w:szCs w:val="20"/>
          <w:lang w:eastAsia="zh-CN"/>
        </w:rPr>
      </w:pP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bCs/>
          <w:szCs w:val="20"/>
          <w:lang w:eastAsia="zh-CN"/>
        </w:rPr>
      </w:pPr>
      <w:r>
        <w:rPr>
          <w:rFonts w:eastAsia="宋体"/>
          <w:bCs/>
          <w:szCs w:val="20"/>
          <w:lang w:eastAsia="zh-CN"/>
        </w:rPr>
        <w:t>Based on the analysis, the following observation and proposal are given:</w:t>
      </w:r>
    </w:p>
    <w:p>
      <w:pPr>
        <w:pStyle w:val="29"/>
        <w:ind w:firstLine="0" w:firstLineChars="0"/>
        <w:rPr>
          <w:rFonts w:ascii="Times New Roman" w:hAnsi="Times New Roman"/>
          <w:b/>
          <w:sz w:val="20"/>
          <w:szCs w:val="20"/>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If OTA timing scheme is performed between parent IAB node and child IAB node, the timing difference between parent node and child node can be very smaller than the CP duration of FR1 and FR2 respectively</w:t>
      </w:r>
      <w:r>
        <w:rPr>
          <w:rFonts w:ascii="Times New Roman" w:hAnsi="Times New Roman"/>
          <w:b/>
          <w:sz w:val="20"/>
          <w:szCs w:val="20"/>
        </w:rPr>
        <w:t>.</w:t>
      </w:r>
    </w:p>
    <w:p>
      <w:pPr>
        <w:pStyle w:val="29"/>
        <w:ind w:firstLine="0" w:firstLineChars="0"/>
        <w:rPr>
          <w:rFonts w:ascii="Times New Roman" w:hAnsi="Times New Roman"/>
          <w:bCs/>
          <w:kern w:val="0"/>
          <w:sz w:val="20"/>
          <w:szCs w:val="20"/>
        </w:rPr>
      </w:pPr>
      <w:r>
        <w:rPr>
          <w:rFonts w:hint="eastAsia" w:ascii="Times New Roman" w:hAnsi="Times New Roman"/>
          <w:b/>
          <w:sz w:val="20"/>
          <w:szCs w:val="20"/>
        </w:rPr>
        <w:t>Proposal 1: To confirm the TAE requirement between IAB-DU and IAB-MT as min [3us , 4.69 / (SCS/15 kHz) µs].</w:t>
      </w:r>
    </w:p>
    <w:p>
      <w:pPr>
        <w:pStyle w:val="29"/>
        <w:ind w:firstLine="0" w:firstLineChars="0"/>
        <w:rPr>
          <w:rFonts w:ascii="Times New Roman" w:hAnsi="Times New Roman"/>
          <w:b/>
          <w:sz w:val="20"/>
          <w:szCs w:val="20"/>
        </w:rPr>
      </w:pPr>
    </w:p>
    <w:p>
      <w:pPr>
        <w:pStyle w:val="29"/>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rPr>
          <w:bCs/>
          <w:szCs w:val="20"/>
          <w:lang w:eastAsia="zh-CN"/>
        </w:rPr>
      </w:pP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lang w:val="en-US"/>
        </w:rPr>
      </w:pPr>
      <w:r>
        <w:rPr>
          <w:rFonts w:hint="eastAsia"/>
          <w:sz w:val="20"/>
          <w:szCs w:val="20"/>
          <w:lang w:val="en-US"/>
        </w:rPr>
        <w:t>RAN4_102-e_BSRF_Demod_Test_ Session_report_EOMv2_AfterPostMeetingApproval.docx</w:t>
      </w:r>
    </w:p>
    <w:p>
      <w:pPr>
        <w:pStyle w:val="9"/>
        <w:rPr>
          <w:sz w:val="20"/>
          <w:szCs w:val="20"/>
          <w:lang w:val="en-US"/>
        </w:rPr>
      </w:pPr>
      <w:r>
        <w:rPr>
          <w:rFonts w:hint="eastAsia"/>
          <w:sz w:val="20"/>
          <w:szCs w:val="20"/>
          <w:lang w:val="en-US"/>
        </w:rPr>
        <w:t>38213-h10.docx</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7F1F30"/>
    <w:multiLevelType w:val="multilevel"/>
    <w:tmpl w:val="477F1F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1150EB8"/>
    <w:multiLevelType w:val="multilevel"/>
    <w:tmpl w:val="71150EB8"/>
    <w:lvl w:ilvl="0" w:tentative="0">
      <w:start w:val="8"/>
      <w:numFmt w:val="bullet"/>
      <w:lvlText w:val="-"/>
      <w:lvlJc w:val="left"/>
      <w:pPr>
        <w:ind w:left="840" w:hanging="42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Symbol" w:hAnsi="Symbo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7D1270E2"/>
    <w:multiLevelType w:val="multilevel"/>
    <w:tmpl w:val="7D1270E2"/>
    <w:lvl w:ilvl="0" w:tentative="0">
      <w:start w:val="1"/>
      <w:numFmt w:val="bullet"/>
      <w:lvlText w:val="-"/>
      <w:lvlJc w:val="left"/>
      <w:pPr>
        <w:ind w:left="720" w:hanging="360"/>
      </w:pPr>
      <w:rPr>
        <w:rFonts w:hint="default" w:ascii="Calibri" w:hAnsi="Calibri"/>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53531E"/>
    <w:rsid w:val="01624027"/>
    <w:rsid w:val="018B3BAA"/>
    <w:rsid w:val="01957959"/>
    <w:rsid w:val="01BA0053"/>
    <w:rsid w:val="01DC1C82"/>
    <w:rsid w:val="02065A2E"/>
    <w:rsid w:val="020928F5"/>
    <w:rsid w:val="02281CFD"/>
    <w:rsid w:val="0228598B"/>
    <w:rsid w:val="02626E3D"/>
    <w:rsid w:val="02770E1A"/>
    <w:rsid w:val="0298367A"/>
    <w:rsid w:val="02D254EC"/>
    <w:rsid w:val="02F72239"/>
    <w:rsid w:val="02FE5F82"/>
    <w:rsid w:val="032D5AEE"/>
    <w:rsid w:val="03A05508"/>
    <w:rsid w:val="03AB67DC"/>
    <w:rsid w:val="03C77456"/>
    <w:rsid w:val="043D2559"/>
    <w:rsid w:val="0478015E"/>
    <w:rsid w:val="0526729B"/>
    <w:rsid w:val="05510DD1"/>
    <w:rsid w:val="062A620F"/>
    <w:rsid w:val="064B00B0"/>
    <w:rsid w:val="06654A0B"/>
    <w:rsid w:val="06823D8F"/>
    <w:rsid w:val="07622262"/>
    <w:rsid w:val="07CD3CDD"/>
    <w:rsid w:val="085D2367"/>
    <w:rsid w:val="08C13553"/>
    <w:rsid w:val="09294F7D"/>
    <w:rsid w:val="09674661"/>
    <w:rsid w:val="097E672F"/>
    <w:rsid w:val="09825F02"/>
    <w:rsid w:val="09AB6C45"/>
    <w:rsid w:val="09E20449"/>
    <w:rsid w:val="0A2802DC"/>
    <w:rsid w:val="0A4B6F30"/>
    <w:rsid w:val="0A731B50"/>
    <w:rsid w:val="0B802D0D"/>
    <w:rsid w:val="0BC176FB"/>
    <w:rsid w:val="0BF41031"/>
    <w:rsid w:val="0C1D57F9"/>
    <w:rsid w:val="0C953742"/>
    <w:rsid w:val="0CA242EA"/>
    <w:rsid w:val="0D613BA3"/>
    <w:rsid w:val="0D744565"/>
    <w:rsid w:val="0D7F564D"/>
    <w:rsid w:val="0D835665"/>
    <w:rsid w:val="0DE052FE"/>
    <w:rsid w:val="0DFF2B1F"/>
    <w:rsid w:val="0E3330D0"/>
    <w:rsid w:val="0E5576D4"/>
    <w:rsid w:val="0ECE66B5"/>
    <w:rsid w:val="0F11785B"/>
    <w:rsid w:val="0F21557B"/>
    <w:rsid w:val="0F372967"/>
    <w:rsid w:val="0F5107D2"/>
    <w:rsid w:val="0FDA7DDA"/>
    <w:rsid w:val="0FFA1150"/>
    <w:rsid w:val="112D72C6"/>
    <w:rsid w:val="113F3856"/>
    <w:rsid w:val="11A50508"/>
    <w:rsid w:val="120639A8"/>
    <w:rsid w:val="12447798"/>
    <w:rsid w:val="125D4125"/>
    <w:rsid w:val="12AE4121"/>
    <w:rsid w:val="13583391"/>
    <w:rsid w:val="137F4008"/>
    <w:rsid w:val="13F672DD"/>
    <w:rsid w:val="140A2CA4"/>
    <w:rsid w:val="140C5848"/>
    <w:rsid w:val="141B497D"/>
    <w:rsid w:val="144E5CD4"/>
    <w:rsid w:val="14BF7340"/>
    <w:rsid w:val="14D87DF4"/>
    <w:rsid w:val="15220493"/>
    <w:rsid w:val="158F210D"/>
    <w:rsid w:val="15E12A88"/>
    <w:rsid w:val="15E95672"/>
    <w:rsid w:val="16054980"/>
    <w:rsid w:val="16271D63"/>
    <w:rsid w:val="165B2ECB"/>
    <w:rsid w:val="167A7800"/>
    <w:rsid w:val="16BD2FB9"/>
    <w:rsid w:val="16C05D40"/>
    <w:rsid w:val="16E7731D"/>
    <w:rsid w:val="179855D1"/>
    <w:rsid w:val="179F1E7A"/>
    <w:rsid w:val="17A613DC"/>
    <w:rsid w:val="17C527E0"/>
    <w:rsid w:val="188A0D46"/>
    <w:rsid w:val="18EF4764"/>
    <w:rsid w:val="19607D81"/>
    <w:rsid w:val="199503FD"/>
    <w:rsid w:val="19AF5CF6"/>
    <w:rsid w:val="19F256A0"/>
    <w:rsid w:val="1A0A0564"/>
    <w:rsid w:val="1A3F5603"/>
    <w:rsid w:val="1AA54D0B"/>
    <w:rsid w:val="1B3C4343"/>
    <w:rsid w:val="1B870B5B"/>
    <w:rsid w:val="1BBC09F6"/>
    <w:rsid w:val="1C3571F6"/>
    <w:rsid w:val="1C3672FA"/>
    <w:rsid w:val="1C3A751E"/>
    <w:rsid w:val="1C5D00DA"/>
    <w:rsid w:val="1C7D0C1A"/>
    <w:rsid w:val="1C7E2DD6"/>
    <w:rsid w:val="1CAD4CCB"/>
    <w:rsid w:val="1CCC40C9"/>
    <w:rsid w:val="1D186F9D"/>
    <w:rsid w:val="1D504421"/>
    <w:rsid w:val="1DA251E1"/>
    <w:rsid w:val="1DA93704"/>
    <w:rsid w:val="1E343C5D"/>
    <w:rsid w:val="1ECF1323"/>
    <w:rsid w:val="1F295D72"/>
    <w:rsid w:val="1F4325C8"/>
    <w:rsid w:val="1F520B16"/>
    <w:rsid w:val="1F595BBB"/>
    <w:rsid w:val="1F7C7957"/>
    <w:rsid w:val="1FD21E35"/>
    <w:rsid w:val="1FD96681"/>
    <w:rsid w:val="1FE10390"/>
    <w:rsid w:val="1FEE7A9C"/>
    <w:rsid w:val="200E58BD"/>
    <w:rsid w:val="205164A7"/>
    <w:rsid w:val="2090238B"/>
    <w:rsid w:val="20A434B3"/>
    <w:rsid w:val="20BA4AFB"/>
    <w:rsid w:val="20BA6502"/>
    <w:rsid w:val="20EE04E5"/>
    <w:rsid w:val="216D7544"/>
    <w:rsid w:val="218E2266"/>
    <w:rsid w:val="21B80AA5"/>
    <w:rsid w:val="221703FC"/>
    <w:rsid w:val="225216B5"/>
    <w:rsid w:val="22B37446"/>
    <w:rsid w:val="22CB0F22"/>
    <w:rsid w:val="235408E6"/>
    <w:rsid w:val="23FD5BE3"/>
    <w:rsid w:val="24386853"/>
    <w:rsid w:val="24715F69"/>
    <w:rsid w:val="24B140D4"/>
    <w:rsid w:val="24C569C9"/>
    <w:rsid w:val="24F907DC"/>
    <w:rsid w:val="250D35C2"/>
    <w:rsid w:val="252A03F9"/>
    <w:rsid w:val="25EF43C8"/>
    <w:rsid w:val="262E08BF"/>
    <w:rsid w:val="263951B2"/>
    <w:rsid w:val="263E55AD"/>
    <w:rsid w:val="264B37D3"/>
    <w:rsid w:val="269A23BD"/>
    <w:rsid w:val="27930B1B"/>
    <w:rsid w:val="27EF2EB7"/>
    <w:rsid w:val="28140998"/>
    <w:rsid w:val="283146AB"/>
    <w:rsid w:val="288C6204"/>
    <w:rsid w:val="28A96A0F"/>
    <w:rsid w:val="28DD5033"/>
    <w:rsid w:val="28EE7A07"/>
    <w:rsid w:val="291F3AAD"/>
    <w:rsid w:val="29CD4516"/>
    <w:rsid w:val="2A1E2DE0"/>
    <w:rsid w:val="2A7049D1"/>
    <w:rsid w:val="2AB04251"/>
    <w:rsid w:val="2ABE7215"/>
    <w:rsid w:val="2AE558B3"/>
    <w:rsid w:val="2AE8229B"/>
    <w:rsid w:val="2AEC42E5"/>
    <w:rsid w:val="2B034D47"/>
    <w:rsid w:val="2B641C02"/>
    <w:rsid w:val="2B6F681F"/>
    <w:rsid w:val="2B8302EB"/>
    <w:rsid w:val="2B893BA3"/>
    <w:rsid w:val="2BC82480"/>
    <w:rsid w:val="2BEB375B"/>
    <w:rsid w:val="2C07332F"/>
    <w:rsid w:val="2C1A5D63"/>
    <w:rsid w:val="2C2907BF"/>
    <w:rsid w:val="2C80477B"/>
    <w:rsid w:val="2CA73FE3"/>
    <w:rsid w:val="2CD46AFB"/>
    <w:rsid w:val="2CE15438"/>
    <w:rsid w:val="2D812190"/>
    <w:rsid w:val="2DA94150"/>
    <w:rsid w:val="2E1176AC"/>
    <w:rsid w:val="2ECB7AE0"/>
    <w:rsid w:val="2F0E5D72"/>
    <w:rsid w:val="2F235269"/>
    <w:rsid w:val="2F322289"/>
    <w:rsid w:val="2F4B1C2D"/>
    <w:rsid w:val="2F691CE7"/>
    <w:rsid w:val="2FC15AF9"/>
    <w:rsid w:val="2FDC4E75"/>
    <w:rsid w:val="302F30EA"/>
    <w:rsid w:val="30571C73"/>
    <w:rsid w:val="306A1C37"/>
    <w:rsid w:val="30943D7F"/>
    <w:rsid w:val="309460D4"/>
    <w:rsid w:val="309C7501"/>
    <w:rsid w:val="30A375B7"/>
    <w:rsid w:val="30A819D5"/>
    <w:rsid w:val="30FF1022"/>
    <w:rsid w:val="310D7287"/>
    <w:rsid w:val="313A0372"/>
    <w:rsid w:val="316C26E3"/>
    <w:rsid w:val="31B6217A"/>
    <w:rsid w:val="32305666"/>
    <w:rsid w:val="328D4D87"/>
    <w:rsid w:val="32987EA1"/>
    <w:rsid w:val="32EC2013"/>
    <w:rsid w:val="33021368"/>
    <w:rsid w:val="33133DBA"/>
    <w:rsid w:val="33491F36"/>
    <w:rsid w:val="33883009"/>
    <w:rsid w:val="33CC2F57"/>
    <w:rsid w:val="346C2BDC"/>
    <w:rsid w:val="34E63221"/>
    <w:rsid w:val="34EA3595"/>
    <w:rsid w:val="34F31159"/>
    <w:rsid w:val="34F61BA3"/>
    <w:rsid w:val="35684E72"/>
    <w:rsid w:val="35D34EB8"/>
    <w:rsid w:val="35F26505"/>
    <w:rsid w:val="361A0DD1"/>
    <w:rsid w:val="363A75C1"/>
    <w:rsid w:val="368E7AA5"/>
    <w:rsid w:val="36950F43"/>
    <w:rsid w:val="36F13745"/>
    <w:rsid w:val="37235D83"/>
    <w:rsid w:val="37A42BA6"/>
    <w:rsid w:val="386C1CFB"/>
    <w:rsid w:val="388C38C8"/>
    <w:rsid w:val="388E6306"/>
    <w:rsid w:val="3891144C"/>
    <w:rsid w:val="38C927B2"/>
    <w:rsid w:val="38CA0360"/>
    <w:rsid w:val="38E40513"/>
    <w:rsid w:val="393853EE"/>
    <w:rsid w:val="39474FFC"/>
    <w:rsid w:val="39A12E64"/>
    <w:rsid w:val="39E030FB"/>
    <w:rsid w:val="39E551C2"/>
    <w:rsid w:val="3A280D85"/>
    <w:rsid w:val="3A985F9F"/>
    <w:rsid w:val="3ABE7AAF"/>
    <w:rsid w:val="3ACA79CB"/>
    <w:rsid w:val="3ACD696C"/>
    <w:rsid w:val="3B1D04C9"/>
    <w:rsid w:val="3B564493"/>
    <w:rsid w:val="3B68666D"/>
    <w:rsid w:val="3B924465"/>
    <w:rsid w:val="3BA94452"/>
    <w:rsid w:val="3C031B6A"/>
    <w:rsid w:val="3C8B2EA4"/>
    <w:rsid w:val="3CA02F85"/>
    <w:rsid w:val="3CAE115E"/>
    <w:rsid w:val="3CB6404C"/>
    <w:rsid w:val="3CC85F33"/>
    <w:rsid w:val="3D5A19A0"/>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705D5D"/>
    <w:rsid w:val="40C765F3"/>
    <w:rsid w:val="40E6301D"/>
    <w:rsid w:val="41071BAC"/>
    <w:rsid w:val="41256FB7"/>
    <w:rsid w:val="4154071D"/>
    <w:rsid w:val="42AE14DC"/>
    <w:rsid w:val="42C843A0"/>
    <w:rsid w:val="42F20CDD"/>
    <w:rsid w:val="434941B7"/>
    <w:rsid w:val="43776349"/>
    <w:rsid w:val="43A46A86"/>
    <w:rsid w:val="43EE5166"/>
    <w:rsid w:val="43F57DBA"/>
    <w:rsid w:val="44AC3C12"/>
    <w:rsid w:val="44B2766E"/>
    <w:rsid w:val="44C82F04"/>
    <w:rsid w:val="453D01E5"/>
    <w:rsid w:val="45834801"/>
    <w:rsid w:val="458F4D24"/>
    <w:rsid w:val="459C5BD8"/>
    <w:rsid w:val="45A36544"/>
    <w:rsid w:val="45B01F58"/>
    <w:rsid w:val="45E86B72"/>
    <w:rsid w:val="45ED56E7"/>
    <w:rsid w:val="45F60A50"/>
    <w:rsid w:val="465B1E86"/>
    <w:rsid w:val="46C6208F"/>
    <w:rsid w:val="473010D7"/>
    <w:rsid w:val="482C6CD1"/>
    <w:rsid w:val="4853345A"/>
    <w:rsid w:val="48845C84"/>
    <w:rsid w:val="489C44D3"/>
    <w:rsid w:val="48F82FC3"/>
    <w:rsid w:val="490D3059"/>
    <w:rsid w:val="49500FEB"/>
    <w:rsid w:val="4982678C"/>
    <w:rsid w:val="49F32E1B"/>
    <w:rsid w:val="49FF1C1E"/>
    <w:rsid w:val="4A0B7057"/>
    <w:rsid w:val="4A280667"/>
    <w:rsid w:val="4A495F41"/>
    <w:rsid w:val="4A511B6E"/>
    <w:rsid w:val="4A7C4548"/>
    <w:rsid w:val="4AEE473A"/>
    <w:rsid w:val="4B5B5B93"/>
    <w:rsid w:val="4B901389"/>
    <w:rsid w:val="4BFE2AE1"/>
    <w:rsid w:val="4C2C30BE"/>
    <w:rsid w:val="4C3A2A9D"/>
    <w:rsid w:val="4C5D2EB7"/>
    <w:rsid w:val="4C8B5DCD"/>
    <w:rsid w:val="4C8D7B0E"/>
    <w:rsid w:val="4CBF03D6"/>
    <w:rsid w:val="4D014AEF"/>
    <w:rsid w:val="4D105B68"/>
    <w:rsid w:val="4D1E3273"/>
    <w:rsid w:val="4D513299"/>
    <w:rsid w:val="4D9D5F78"/>
    <w:rsid w:val="4DA22392"/>
    <w:rsid w:val="4DBE5704"/>
    <w:rsid w:val="4DF96CBC"/>
    <w:rsid w:val="4E4C233E"/>
    <w:rsid w:val="4E6467C3"/>
    <w:rsid w:val="4E9A7FF9"/>
    <w:rsid w:val="4EDA7726"/>
    <w:rsid w:val="4EDF702E"/>
    <w:rsid w:val="4EF148C1"/>
    <w:rsid w:val="4F047884"/>
    <w:rsid w:val="4F186AC1"/>
    <w:rsid w:val="4F813AF7"/>
    <w:rsid w:val="4FBD6EC5"/>
    <w:rsid w:val="4FBF1AB2"/>
    <w:rsid w:val="50150A2D"/>
    <w:rsid w:val="504E5AC6"/>
    <w:rsid w:val="505076EF"/>
    <w:rsid w:val="505F3BD5"/>
    <w:rsid w:val="507820B7"/>
    <w:rsid w:val="508A0B34"/>
    <w:rsid w:val="509A0302"/>
    <w:rsid w:val="50E042AF"/>
    <w:rsid w:val="513C5648"/>
    <w:rsid w:val="51736098"/>
    <w:rsid w:val="51B14BED"/>
    <w:rsid w:val="51EE252C"/>
    <w:rsid w:val="51FA3D86"/>
    <w:rsid w:val="52022698"/>
    <w:rsid w:val="52064582"/>
    <w:rsid w:val="526965AA"/>
    <w:rsid w:val="531E2281"/>
    <w:rsid w:val="54175BE1"/>
    <w:rsid w:val="5445166E"/>
    <w:rsid w:val="54632332"/>
    <w:rsid w:val="547236DF"/>
    <w:rsid w:val="54944CE7"/>
    <w:rsid w:val="54E95C39"/>
    <w:rsid w:val="55436523"/>
    <w:rsid w:val="55CA20E9"/>
    <w:rsid w:val="55ED23C7"/>
    <w:rsid w:val="560C0036"/>
    <w:rsid w:val="563C5184"/>
    <w:rsid w:val="565631F5"/>
    <w:rsid w:val="56C44CD3"/>
    <w:rsid w:val="581B09AF"/>
    <w:rsid w:val="582E227B"/>
    <w:rsid w:val="583C79A9"/>
    <w:rsid w:val="58983966"/>
    <w:rsid w:val="589E3B99"/>
    <w:rsid w:val="589F3533"/>
    <w:rsid w:val="58FF6291"/>
    <w:rsid w:val="593261D2"/>
    <w:rsid w:val="59423730"/>
    <w:rsid w:val="595A6E9E"/>
    <w:rsid w:val="5A8F1C82"/>
    <w:rsid w:val="5AA04D8D"/>
    <w:rsid w:val="5AFF5DE6"/>
    <w:rsid w:val="5B4026E8"/>
    <w:rsid w:val="5B482E24"/>
    <w:rsid w:val="5C0025C0"/>
    <w:rsid w:val="5C9A4DB7"/>
    <w:rsid w:val="5D1A39EE"/>
    <w:rsid w:val="5D5C7688"/>
    <w:rsid w:val="5D615C0F"/>
    <w:rsid w:val="5D844DB8"/>
    <w:rsid w:val="5DEF6B62"/>
    <w:rsid w:val="5E224225"/>
    <w:rsid w:val="5E2732CD"/>
    <w:rsid w:val="5E336F39"/>
    <w:rsid w:val="5E7E4092"/>
    <w:rsid w:val="5F5F081B"/>
    <w:rsid w:val="5FF20BF7"/>
    <w:rsid w:val="60205F90"/>
    <w:rsid w:val="608E2F6C"/>
    <w:rsid w:val="60EC3C37"/>
    <w:rsid w:val="615C14A6"/>
    <w:rsid w:val="617A5318"/>
    <w:rsid w:val="61A058F7"/>
    <w:rsid w:val="62082A4E"/>
    <w:rsid w:val="623C28E2"/>
    <w:rsid w:val="62CA193B"/>
    <w:rsid w:val="62D53BF4"/>
    <w:rsid w:val="631E0963"/>
    <w:rsid w:val="63483DC6"/>
    <w:rsid w:val="63610183"/>
    <w:rsid w:val="637947A5"/>
    <w:rsid w:val="63D0005D"/>
    <w:rsid w:val="64B7605C"/>
    <w:rsid w:val="652564C3"/>
    <w:rsid w:val="652B096E"/>
    <w:rsid w:val="65530E49"/>
    <w:rsid w:val="658B678B"/>
    <w:rsid w:val="65E73B66"/>
    <w:rsid w:val="66131984"/>
    <w:rsid w:val="66187135"/>
    <w:rsid w:val="66E16576"/>
    <w:rsid w:val="66E33C2D"/>
    <w:rsid w:val="67427945"/>
    <w:rsid w:val="678164D2"/>
    <w:rsid w:val="67D079BF"/>
    <w:rsid w:val="67E04310"/>
    <w:rsid w:val="68121D83"/>
    <w:rsid w:val="68233C28"/>
    <w:rsid w:val="6906197A"/>
    <w:rsid w:val="690C637F"/>
    <w:rsid w:val="692A17F3"/>
    <w:rsid w:val="69C27972"/>
    <w:rsid w:val="6A2E4954"/>
    <w:rsid w:val="6A6E396D"/>
    <w:rsid w:val="6AC9421D"/>
    <w:rsid w:val="6AD94F47"/>
    <w:rsid w:val="6C4C2667"/>
    <w:rsid w:val="6CD40BE1"/>
    <w:rsid w:val="6CDA49A3"/>
    <w:rsid w:val="6CF36133"/>
    <w:rsid w:val="6D27071C"/>
    <w:rsid w:val="6D2C0194"/>
    <w:rsid w:val="6D704B0C"/>
    <w:rsid w:val="6DD1076A"/>
    <w:rsid w:val="6DDE3DAF"/>
    <w:rsid w:val="6E1735DC"/>
    <w:rsid w:val="6E1F4ECD"/>
    <w:rsid w:val="6E2211D6"/>
    <w:rsid w:val="6EBD64D7"/>
    <w:rsid w:val="6F7A0A72"/>
    <w:rsid w:val="6FBA4BA1"/>
    <w:rsid w:val="70E13200"/>
    <w:rsid w:val="714420CD"/>
    <w:rsid w:val="715F4C2D"/>
    <w:rsid w:val="71742846"/>
    <w:rsid w:val="72024D75"/>
    <w:rsid w:val="724530CF"/>
    <w:rsid w:val="72CB7F46"/>
    <w:rsid w:val="73121CB7"/>
    <w:rsid w:val="73134E8E"/>
    <w:rsid w:val="745A4881"/>
    <w:rsid w:val="745C121D"/>
    <w:rsid w:val="755C4C37"/>
    <w:rsid w:val="761A2E8D"/>
    <w:rsid w:val="768D7CD7"/>
    <w:rsid w:val="76A17FB6"/>
    <w:rsid w:val="774D1291"/>
    <w:rsid w:val="776C25E5"/>
    <w:rsid w:val="776C3E9D"/>
    <w:rsid w:val="77B7237F"/>
    <w:rsid w:val="77FD2C5E"/>
    <w:rsid w:val="78271104"/>
    <w:rsid w:val="784B7472"/>
    <w:rsid w:val="78861A8D"/>
    <w:rsid w:val="78ED42D2"/>
    <w:rsid w:val="78F82ED4"/>
    <w:rsid w:val="7925703F"/>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6B6B6B"/>
    <w:rsid w:val="7C963B24"/>
    <w:rsid w:val="7D4C1C46"/>
    <w:rsid w:val="7DB44FBE"/>
    <w:rsid w:val="7DC64605"/>
    <w:rsid w:val="7DDD0501"/>
    <w:rsid w:val="7E2653BA"/>
    <w:rsid w:val="7E2B63E7"/>
    <w:rsid w:val="7E8A1E6A"/>
    <w:rsid w:val="7E8B79FF"/>
    <w:rsid w:val="7E905860"/>
    <w:rsid w:val="7E935AFB"/>
    <w:rsid w:val="7E9C3271"/>
    <w:rsid w:val="7EC65AAB"/>
    <w:rsid w:val="7EE64951"/>
    <w:rsid w:val="7F4610EC"/>
    <w:rsid w:val="7F50759A"/>
    <w:rsid w:val="7F62141C"/>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660</Words>
  <Characters>3762</Characters>
  <Lines>31</Lines>
  <Paragraphs>8</Paragraphs>
  <TotalTime>1</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2022-04-25T15:31:57Z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